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0F" w:rsidRPr="005E37E4" w:rsidRDefault="00B32E0F" w:rsidP="00B32E0F">
      <w:pPr>
        <w:jc w:val="center"/>
        <w:rPr>
          <w:rFonts w:ascii="Arial" w:hAnsi="Arial" w:cs="Arial"/>
          <w:b/>
          <w:sz w:val="32"/>
          <w:szCs w:val="32"/>
        </w:rPr>
      </w:pPr>
      <w:r w:rsidRPr="005E37E4">
        <w:rPr>
          <w:rFonts w:ascii="Arial" w:hAnsi="Arial" w:cs="Arial"/>
          <w:b/>
          <w:sz w:val="32"/>
          <w:szCs w:val="32"/>
        </w:rPr>
        <w:t>DECISION</w:t>
      </w:r>
      <w:r>
        <w:rPr>
          <w:rFonts w:ascii="Arial" w:hAnsi="Arial" w:cs="Arial"/>
          <w:b/>
          <w:sz w:val="32"/>
          <w:szCs w:val="32"/>
        </w:rPr>
        <w:t xml:space="preserve">S DELEGATED TO OFFICERS </w:t>
      </w:r>
    </w:p>
    <w:p w:rsidR="00B32E0F" w:rsidRDefault="00B32E0F" w:rsidP="00B32E0F">
      <w:pPr>
        <w:rPr>
          <w:rFonts w:ascii="Arial" w:hAnsi="Arial" w:cs="Arial"/>
          <w:b/>
        </w:rPr>
      </w:pPr>
    </w:p>
    <w:tbl>
      <w:tblPr>
        <w:tblStyle w:val="TableGrid"/>
        <w:tblW w:w="9924" w:type="dxa"/>
        <w:tblInd w:w="-318" w:type="dxa"/>
        <w:tblLook w:val="04A0" w:firstRow="1" w:lastRow="0" w:firstColumn="1" w:lastColumn="0" w:noHBand="0" w:noVBand="1"/>
      </w:tblPr>
      <w:tblGrid>
        <w:gridCol w:w="3148"/>
        <w:gridCol w:w="6776"/>
      </w:tblGrid>
      <w:tr w:rsidR="00B32E0F" w:rsidTr="00F1195B">
        <w:tc>
          <w:tcPr>
            <w:tcW w:w="3148" w:type="dxa"/>
          </w:tcPr>
          <w:p w:rsidR="00B32E0F" w:rsidRDefault="00B32E0F" w:rsidP="00F1195B">
            <w:pPr>
              <w:spacing w:before="120" w:after="120"/>
            </w:pPr>
            <w:r>
              <w:rPr>
                <w:rFonts w:ascii="Arial" w:hAnsi="Arial" w:cs="Arial"/>
                <w:b/>
              </w:rPr>
              <w:t>D</w:t>
            </w:r>
            <w:r w:rsidRPr="00BE1FD4">
              <w:rPr>
                <w:rFonts w:ascii="Arial" w:hAnsi="Arial" w:cs="Arial"/>
                <w:b/>
              </w:rPr>
              <w:t>ecision</w:t>
            </w:r>
            <w:r>
              <w:rPr>
                <w:rFonts w:ascii="Arial" w:hAnsi="Arial" w:cs="Arial"/>
                <w:b/>
              </w:rPr>
              <w:t xml:space="preserve"> title: </w:t>
            </w:r>
          </w:p>
        </w:tc>
        <w:tc>
          <w:tcPr>
            <w:tcW w:w="6776" w:type="dxa"/>
          </w:tcPr>
          <w:p w:rsidR="00B32E0F" w:rsidRPr="00A96C08" w:rsidRDefault="00B32E0F" w:rsidP="00F1195B">
            <w:pPr>
              <w:rPr>
                <w:rFonts w:ascii="Arial" w:hAnsi="Arial" w:cs="Arial"/>
              </w:rPr>
            </w:pPr>
            <w:r>
              <w:rPr>
                <w:rFonts w:ascii="Arial" w:hAnsi="Arial" w:cs="Arial"/>
              </w:rPr>
              <w:t>Acquisition of 2 properties/sites from Oxfordshire County Council for the purposes of developing 65 affordable housing</w:t>
            </w:r>
            <w:r w:rsidR="00372AFD">
              <w:rPr>
                <w:rFonts w:ascii="Arial" w:hAnsi="Arial" w:cs="Arial"/>
              </w:rPr>
              <w:t xml:space="preserve"> units</w:t>
            </w:r>
            <w:bookmarkStart w:id="0" w:name="_GoBack"/>
            <w:bookmarkEnd w:id="0"/>
            <w:r>
              <w:rPr>
                <w:rFonts w:ascii="Arial" w:hAnsi="Arial" w:cs="Arial"/>
              </w:rPr>
              <w:t xml:space="preserve">. </w:t>
            </w:r>
          </w:p>
        </w:tc>
      </w:tr>
      <w:tr w:rsidR="00B32E0F" w:rsidTr="00F1195B">
        <w:tc>
          <w:tcPr>
            <w:tcW w:w="3148" w:type="dxa"/>
          </w:tcPr>
          <w:p w:rsidR="00B32E0F" w:rsidRPr="00854133" w:rsidRDefault="00B32E0F" w:rsidP="00F1195B">
            <w:pPr>
              <w:spacing w:before="120" w:after="120"/>
              <w:rPr>
                <w:rFonts w:ascii="Arial" w:hAnsi="Arial" w:cs="Arial"/>
                <w:b/>
              </w:rPr>
            </w:pPr>
            <w:r w:rsidRPr="00854133">
              <w:rPr>
                <w:rFonts w:ascii="Arial" w:hAnsi="Arial" w:cs="Arial"/>
                <w:b/>
              </w:rPr>
              <w:t>Decision date:</w:t>
            </w:r>
          </w:p>
        </w:tc>
        <w:tc>
          <w:tcPr>
            <w:tcW w:w="6776" w:type="dxa"/>
          </w:tcPr>
          <w:p w:rsidR="00B32E0F" w:rsidRPr="00A96C08" w:rsidRDefault="00B32E0F" w:rsidP="00F1195B">
            <w:pPr>
              <w:rPr>
                <w:rFonts w:ascii="Arial" w:hAnsi="Arial" w:cs="Arial"/>
              </w:rPr>
            </w:pPr>
            <w:r>
              <w:rPr>
                <w:rFonts w:ascii="Arial" w:hAnsi="Arial" w:cs="Arial"/>
              </w:rPr>
              <w:t>14 October 2021</w:t>
            </w:r>
          </w:p>
        </w:tc>
      </w:tr>
      <w:tr w:rsidR="00B32E0F" w:rsidTr="00F1195B">
        <w:tc>
          <w:tcPr>
            <w:tcW w:w="3148" w:type="dxa"/>
          </w:tcPr>
          <w:p w:rsidR="00B32E0F" w:rsidRPr="00854133" w:rsidRDefault="00B32E0F" w:rsidP="00F1195B">
            <w:pPr>
              <w:spacing w:before="120" w:after="120"/>
              <w:rPr>
                <w:rFonts w:ascii="Arial" w:hAnsi="Arial" w:cs="Arial"/>
              </w:rPr>
            </w:pPr>
            <w:r>
              <w:rPr>
                <w:rFonts w:ascii="Arial" w:hAnsi="Arial" w:cs="Arial"/>
                <w:b/>
              </w:rPr>
              <w:t xml:space="preserve">Source of delegation: </w:t>
            </w:r>
          </w:p>
        </w:tc>
        <w:tc>
          <w:tcPr>
            <w:tcW w:w="6776" w:type="dxa"/>
          </w:tcPr>
          <w:p w:rsidR="00B32E0F" w:rsidRDefault="00B32E0F" w:rsidP="00F1195B">
            <w:pPr>
              <w:rPr>
                <w:rFonts w:ascii="Arial" w:hAnsi="Arial" w:cs="Arial"/>
              </w:rPr>
            </w:pPr>
            <w:r>
              <w:rPr>
                <w:rFonts w:ascii="Arial" w:hAnsi="Arial" w:cs="Arial"/>
              </w:rPr>
              <w:t>Cabinet on 9 September 2020 resolved to:</w:t>
            </w:r>
          </w:p>
          <w:p w:rsidR="00B32E0F" w:rsidRDefault="00B32E0F" w:rsidP="00F1195B">
            <w:pPr>
              <w:rPr>
                <w:rFonts w:ascii="Arial" w:hAnsi="Arial" w:cs="Arial"/>
              </w:rPr>
            </w:pPr>
          </w:p>
          <w:p w:rsidR="00B32E0F" w:rsidRDefault="00B32E0F" w:rsidP="00B32E0F">
            <w:pPr>
              <w:pStyle w:val="ListParagraph"/>
              <w:numPr>
                <w:ilvl w:val="0"/>
                <w:numId w:val="8"/>
              </w:numPr>
              <w:spacing w:after="160" w:line="259" w:lineRule="auto"/>
              <w:jc w:val="both"/>
              <w:rPr>
                <w:rFonts w:ascii="Arial" w:hAnsi="Arial" w:cs="Arial"/>
              </w:rPr>
            </w:pPr>
            <w:r>
              <w:rPr>
                <w:rFonts w:ascii="Arial" w:hAnsi="Arial" w:cs="Arial"/>
              </w:rPr>
              <w:t>Grant ap</w:t>
            </w:r>
            <w:r w:rsidRPr="00C34B19">
              <w:rPr>
                <w:rFonts w:ascii="Arial" w:hAnsi="Arial" w:cs="Arial"/>
              </w:rPr>
              <w:t xml:space="preserve">proval for the intended purchase and budgets for the 2 sites.  </w:t>
            </w:r>
            <w:r>
              <w:rPr>
                <w:rFonts w:ascii="Arial" w:hAnsi="Arial" w:cs="Arial"/>
              </w:rPr>
              <w:t xml:space="preserve">Delegated authority was given for the purposes of entering into the purchase contacts, as follows : </w:t>
            </w:r>
          </w:p>
          <w:p w:rsidR="00B32E0F" w:rsidRPr="00797FC4" w:rsidRDefault="00B32E0F" w:rsidP="00F1195B">
            <w:pPr>
              <w:pStyle w:val="ListParagraph"/>
              <w:ind w:left="360"/>
              <w:jc w:val="both"/>
              <w:rPr>
                <w:rFonts w:ascii="Arial" w:hAnsi="Arial" w:cs="Arial"/>
              </w:rPr>
            </w:pPr>
          </w:p>
          <w:p w:rsidR="00B32E0F" w:rsidRPr="00797FC4" w:rsidRDefault="00B32E0F" w:rsidP="00B32E0F">
            <w:pPr>
              <w:pStyle w:val="ListParagraph"/>
              <w:numPr>
                <w:ilvl w:val="0"/>
                <w:numId w:val="8"/>
              </w:numPr>
              <w:spacing w:after="160" w:line="259" w:lineRule="auto"/>
              <w:jc w:val="both"/>
              <w:rPr>
                <w:rFonts w:ascii="Arial" w:hAnsi="Arial" w:cs="Arial"/>
              </w:rPr>
            </w:pPr>
            <w:r w:rsidRPr="00797FC4">
              <w:rPr>
                <w:rFonts w:ascii="Arial" w:hAnsi="Arial" w:cs="Arial"/>
              </w:rPr>
              <w:t xml:space="preserve">Delegated authority given to </w:t>
            </w:r>
            <w:r w:rsidRPr="00797FC4">
              <w:rPr>
                <w:rStyle w:val="Firstpagetablebold"/>
                <w:rFonts w:cs="Arial"/>
              </w:rPr>
              <w:t xml:space="preserve">the Director of Housing, </w:t>
            </w:r>
            <w:r w:rsidRPr="00797FC4">
              <w:rPr>
                <w:rFonts w:ascii="Arial" w:hAnsi="Arial" w:cs="Arial"/>
              </w:rPr>
              <w:t xml:space="preserve">in consultation with the </w:t>
            </w:r>
            <w:r w:rsidRPr="00797FC4">
              <w:rPr>
                <w:rFonts w:ascii="Arial" w:hAnsi="Arial" w:cs="Arial"/>
                <w:shd w:val="clear" w:color="auto" w:fill="FFFFFF"/>
              </w:rPr>
              <w:t>Cabinet Member for Affordable Housing</w:t>
            </w:r>
            <w:r w:rsidRPr="00797FC4">
              <w:rPr>
                <w:rFonts w:ascii="Arial" w:hAnsi="Arial" w:cs="Arial"/>
              </w:rPr>
              <w:t>; the Head of Financial Services/Section 151 Officer; and the Council’s Monitoring Officer</w:t>
            </w:r>
            <w:r w:rsidRPr="00797FC4">
              <w:rPr>
                <w:rFonts w:ascii="Arial" w:hAnsi="Arial" w:cs="Arial"/>
                <w:b/>
              </w:rPr>
              <w:t>,</w:t>
            </w:r>
            <w:r w:rsidRPr="00797FC4">
              <w:rPr>
                <w:rStyle w:val="Firstpagetablebold"/>
                <w:rFonts w:cs="Arial"/>
              </w:rPr>
              <w:t xml:space="preserve"> to enter into agreements for the purchase of land, and any other necessary agreements or contracts and/or spend within the identified budget, </w:t>
            </w:r>
            <w:r w:rsidRPr="00797FC4">
              <w:rPr>
                <w:rFonts w:ascii="Arial" w:hAnsi="Arial" w:cs="Arial"/>
              </w:rPr>
              <w:t xml:space="preserve">for the provision of additional affordable housing. </w:t>
            </w:r>
          </w:p>
          <w:p w:rsidR="00B32E0F" w:rsidRPr="00FB176E" w:rsidRDefault="00B32E0F" w:rsidP="00F1195B">
            <w:pPr>
              <w:pStyle w:val="ListParagraph"/>
              <w:ind w:left="360"/>
              <w:jc w:val="both"/>
              <w:rPr>
                <w:rFonts w:ascii="Arial" w:hAnsi="Arial" w:cs="Arial"/>
              </w:rPr>
            </w:pPr>
          </w:p>
          <w:p w:rsidR="00B32E0F" w:rsidRPr="00FB176E" w:rsidRDefault="00B32E0F" w:rsidP="00B32E0F">
            <w:pPr>
              <w:pStyle w:val="ListParagraph"/>
              <w:numPr>
                <w:ilvl w:val="0"/>
                <w:numId w:val="8"/>
              </w:numPr>
              <w:spacing w:after="160" w:line="259" w:lineRule="auto"/>
              <w:jc w:val="both"/>
              <w:rPr>
                <w:rFonts w:ascii="Arial" w:hAnsi="Arial" w:cs="Arial"/>
                <w:u w:val="single"/>
              </w:rPr>
            </w:pPr>
            <w:r>
              <w:rPr>
                <w:rFonts w:ascii="Arial" w:hAnsi="Arial" w:cs="Arial"/>
              </w:rPr>
              <w:t>D</w:t>
            </w:r>
            <w:r w:rsidRPr="00FB176E">
              <w:rPr>
                <w:rFonts w:ascii="Arial" w:hAnsi="Arial" w:cs="Arial"/>
              </w:rPr>
              <w:t xml:space="preserve">elegated authority </w:t>
            </w:r>
            <w:r w:rsidRPr="00FB176E">
              <w:rPr>
                <w:rFonts w:ascii="Arial" w:hAnsi="Arial" w:cs="Arial"/>
                <w:shd w:val="clear" w:color="auto" w:fill="FFFFFF"/>
              </w:rPr>
              <w:t>to the Chief Executive, in consultation with the Cabinet Members for Finance and Asset Management, and Affordable Housing, to approve any property or development purchases over £500,000 for affordable housing.</w:t>
            </w:r>
          </w:p>
          <w:p w:rsidR="00B32E0F" w:rsidRPr="00FB176E" w:rsidRDefault="00B32E0F" w:rsidP="00F1195B">
            <w:pPr>
              <w:pStyle w:val="ListParagraph"/>
              <w:rPr>
                <w:rFonts w:ascii="Arial" w:hAnsi="Arial" w:cs="Arial"/>
                <w:u w:val="single"/>
              </w:rPr>
            </w:pPr>
          </w:p>
          <w:p w:rsidR="00B32E0F" w:rsidRPr="00605388" w:rsidRDefault="00B32E0F" w:rsidP="00B32E0F">
            <w:pPr>
              <w:pStyle w:val="ListParagraph"/>
              <w:numPr>
                <w:ilvl w:val="0"/>
                <w:numId w:val="8"/>
              </w:numPr>
              <w:spacing w:after="160" w:line="259" w:lineRule="auto"/>
              <w:jc w:val="both"/>
              <w:rPr>
                <w:rFonts w:ascii="Arial" w:hAnsi="Arial" w:cs="Arial"/>
                <w:b/>
              </w:rPr>
            </w:pPr>
            <w:r w:rsidRPr="00605388">
              <w:rPr>
                <w:rFonts w:ascii="Arial" w:hAnsi="Arial" w:cs="Arial"/>
                <w:b/>
              </w:rPr>
              <w:t>In the context of the purchase values exceeding</w:t>
            </w:r>
            <w:r w:rsidRPr="00605388">
              <w:rPr>
                <w:rFonts w:ascii="Arial" w:hAnsi="Arial" w:cs="Arial"/>
                <w:b/>
                <w:shd w:val="clear" w:color="auto" w:fill="FFFFFF"/>
              </w:rPr>
              <w:t xml:space="preserve"> £500,000 t</w:t>
            </w:r>
            <w:r w:rsidRPr="00605388">
              <w:rPr>
                <w:rFonts w:ascii="Arial" w:hAnsi="Arial" w:cs="Arial"/>
                <w:b/>
              </w:rPr>
              <w:t xml:space="preserve">his report seeks approval through the delegation defined at point 3 above to enter into an exchange of contracts, and make the deposit payments. </w:t>
            </w:r>
          </w:p>
          <w:p w:rsidR="00B32E0F" w:rsidRPr="00D3394A" w:rsidRDefault="00B32E0F" w:rsidP="00F1195B">
            <w:pPr>
              <w:pStyle w:val="ListParagraph"/>
              <w:ind w:left="360"/>
              <w:rPr>
                <w:rFonts w:ascii="Arial" w:hAnsi="Arial" w:cs="Arial"/>
              </w:rPr>
            </w:pPr>
            <w:r w:rsidRPr="00D3394A">
              <w:rPr>
                <w:rFonts w:ascii="Arial" w:hAnsi="Arial" w:cs="Arial"/>
              </w:rPr>
              <w:t xml:space="preserve"> </w:t>
            </w:r>
          </w:p>
        </w:tc>
      </w:tr>
      <w:tr w:rsidR="00B32E0F" w:rsidTr="00F1195B">
        <w:tc>
          <w:tcPr>
            <w:tcW w:w="3148" w:type="dxa"/>
          </w:tcPr>
          <w:p w:rsidR="00B32E0F" w:rsidRPr="00B87695" w:rsidRDefault="00B32E0F" w:rsidP="00F1195B">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776" w:type="dxa"/>
          </w:tcPr>
          <w:p w:rsidR="00B32E0F" w:rsidRDefault="00B32E0F" w:rsidP="00F1195B">
            <w:pPr>
              <w:rPr>
                <w:rFonts w:ascii="Arial" w:hAnsi="Arial" w:cs="Arial"/>
              </w:rPr>
            </w:pPr>
            <w:r>
              <w:rPr>
                <w:rFonts w:ascii="Arial" w:hAnsi="Arial" w:cs="Arial"/>
              </w:rPr>
              <w:t xml:space="preserve">To enter into an exchange of contracts to acquire 2 properties: Northfield Hostel and Land at Lanham Way.  This requires a 5 % deposit payment for each site to be paid by Oxford City Council to Oxfordshire County Council (to be placed in a holding account with the purchaser’s lawyers). </w:t>
            </w:r>
            <w:r w:rsidRPr="00557E74">
              <w:rPr>
                <w:rFonts w:ascii="Arial" w:hAnsi="Arial" w:cs="Arial"/>
              </w:rPr>
              <w:t xml:space="preserve">Completion of the contracts </w:t>
            </w:r>
            <w:r>
              <w:rPr>
                <w:rFonts w:ascii="Arial" w:hAnsi="Arial" w:cs="Arial"/>
              </w:rPr>
              <w:t>is</w:t>
            </w:r>
            <w:r w:rsidRPr="00557E74">
              <w:rPr>
                <w:rFonts w:ascii="Arial" w:hAnsi="Arial" w:cs="Arial"/>
              </w:rPr>
              <w:t xml:space="preserve"> subject to the receipt of satisfactory plann</w:t>
            </w:r>
            <w:r>
              <w:rPr>
                <w:rFonts w:ascii="Arial" w:hAnsi="Arial" w:cs="Arial"/>
              </w:rPr>
              <w:t xml:space="preserve">ing permission for each site. The deposit is returnable in the event completion does not occur. Assuming completion occurs the remainder of the purchase prices becomes payable. </w:t>
            </w:r>
            <w:r w:rsidRPr="00557E74">
              <w:rPr>
                <w:rFonts w:ascii="Arial" w:hAnsi="Arial" w:cs="Arial"/>
              </w:rPr>
              <w:t>Contract purchase prices are £1,489,000 (Northfield Hostel) and £935,000 (Lanham Way).</w:t>
            </w:r>
          </w:p>
          <w:p w:rsidR="00B32E0F" w:rsidRPr="00A96C08" w:rsidRDefault="00B32E0F" w:rsidP="00F1195B">
            <w:pPr>
              <w:rPr>
                <w:rFonts w:ascii="Arial" w:hAnsi="Arial" w:cs="Arial"/>
              </w:rPr>
            </w:pPr>
          </w:p>
        </w:tc>
      </w:tr>
      <w:tr w:rsidR="00B32E0F" w:rsidTr="00F1195B">
        <w:tc>
          <w:tcPr>
            <w:tcW w:w="3148" w:type="dxa"/>
          </w:tcPr>
          <w:p w:rsidR="00B32E0F" w:rsidRPr="00373F5D" w:rsidRDefault="00B32E0F" w:rsidP="00F1195B">
            <w:pPr>
              <w:spacing w:before="120" w:after="120"/>
              <w:rPr>
                <w:rFonts w:ascii="Arial" w:hAnsi="Arial" w:cs="Arial"/>
              </w:rPr>
            </w:pPr>
            <w:r>
              <w:rPr>
                <w:rFonts w:ascii="Arial" w:hAnsi="Arial" w:cs="Arial"/>
                <w:b/>
              </w:rPr>
              <w:t xml:space="preserve">Purpose: </w:t>
            </w:r>
          </w:p>
        </w:tc>
        <w:tc>
          <w:tcPr>
            <w:tcW w:w="6776" w:type="dxa"/>
          </w:tcPr>
          <w:p w:rsidR="00B32E0F" w:rsidRDefault="00B32E0F" w:rsidP="00F1195B">
            <w:pPr>
              <w:rPr>
                <w:rFonts w:ascii="Arial" w:hAnsi="Arial" w:cs="Arial"/>
              </w:rPr>
            </w:pPr>
            <w:r>
              <w:rPr>
                <w:rFonts w:ascii="Arial" w:hAnsi="Arial" w:cs="Arial"/>
              </w:rPr>
              <w:t xml:space="preserve">Contract exchange, and this in turn enables the submission of planning applications for both schemes. Receipt of satisfactory planning would then commit the County to transfer the sites to the City Council on receipt of completion monies from the City Council.   </w:t>
            </w:r>
          </w:p>
          <w:p w:rsidR="00B32E0F" w:rsidRPr="00A96C08" w:rsidRDefault="00B32E0F" w:rsidP="00F1195B">
            <w:pPr>
              <w:rPr>
                <w:rFonts w:ascii="Arial" w:hAnsi="Arial" w:cs="Arial"/>
              </w:rPr>
            </w:pPr>
          </w:p>
        </w:tc>
      </w:tr>
      <w:tr w:rsidR="00B32E0F" w:rsidTr="00F1195B">
        <w:tc>
          <w:tcPr>
            <w:tcW w:w="3148" w:type="dxa"/>
          </w:tcPr>
          <w:p w:rsidR="00B32E0F" w:rsidRPr="008E4629" w:rsidRDefault="00B32E0F" w:rsidP="00F1195B">
            <w:pPr>
              <w:spacing w:before="120" w:after="120"/>
              <w:rPr>
                <w:rFonts w:ascii="Arial" w:hAnsi="Arial" w:cs="Arial"/>
              </w:rPr>
            </w:pPr>
            <w:r>
              <w:rPr>
                <w:rFonts w:ascii="Arial" w:hAnsi="Arial" w:cs="Arial"/>
                <w:b/>
              </w:rPr>
              <w:lastRenderedPageBreak/>
              <w:t xml:space="preserve">Reasons: </w:t>
            </w:r>
          </w:p>
        </w:tc>
        <w:tc>
          <w:tcPr>
            <w:tcW w:w="6776" w:type="dxa"/>
          </w:tcPr>
          <w:p w:rsidR="00B32E0F" w:rsidRDefault="00B32E0F" w:rsidP="00F1195B">
            <w:pPr>
              <w:rPr>
                <w:rFonts w:ascii="Arial" w:hAnsi="Arial" w:cs="Arial"/>
              </w:rPr>
            </w:pPr>
            <w:r>
              <w:rPr>
                <w:rFonts w:ascii="Arial" w:hAnsi="Arial" w:cs="Arial"/>
              </w:rPr>
              <w:t>To enable the delivery of 65 affordable housing units for the City Council/HRA, subject to the receipt of planning permission, and subsequent tender award. Therefore this is a substantial contribution of units to the City Council’s affordable homes delivery programme.</w:t>
            </w:r>
          </w:p>
          <w:p w:rsidR="00B32E0F" w:rsidRPr="00A96C08" w:rsidRDefault="00B32E0F" w:rsidP="00F1195B">
            <w:pPr>
              <w:rPr>
                <w:rFonts w:ascii="Arial" w:hAnsi="Arial" w:cs="Arial"/>
              </w:rPr>
            </w:pPr>
          </w:p>
        </w:tc>
      </w:tr>
      <w:tr w:rsidR="00B32E0F" w:rsidTr="00F1195B">
        <w:tc>
          <w:tcPr>
            <w:tcW w:w="3148" w:type="dxa"/>
          </w:tcPr>
          <w:p w:rsidR="00B32E0F" w:rsidRPr="00B87695" w:rsidRDefault="00B32E0F" w:rsidP="00F1195B">
            <w:pPr>
              <w:spacing w:before="120" w:after="120"/>
              <w:rPr>
                <w:rFonts w:ascii="Arial" w:hAnsi="Arial" w:cs="Arial"/>
              </w:rPr>
            </w:pPr>
            <w:r w:rsidRPr="00B87695">
              <w:rPr>
                <w:rFonts w:ascii="Arial" w:hAnsi="Arial" w:cs="Arial"/>
                <w:b/>
              </w:rPr>
              <w:t xml:space="preserve">Decision made by: </w:t>
            </w:r>
          </w:p>
        </w:tc>
        <w:tc>
          <w:tcPr>
            <w:tcW w:w="6776" w:type="dxa"/>
          </w:tcPr>
          <w:p w:rsidR="00B32E0F" w:rsidRDefault="00B32E0F" w:rsidP="00F1195B">
            <w:pPr>
              <w:rPr>
                <w:rFonts w:ascii="Arial" w:hAnsi="Arial" w:cs="Arial"/>
              </w:rPr>
            </w:pPr>
            <w:r>
              <w:rPr>
                <w:rFonts w:ascii="Arial" w:hAnsi="Arial" w:cs="Arial"/>
              </w:rPr>
              <w:t>Caroline Green, Chief Executive</w:t>
            </w:r>
          </w:p>
          <w:p w:rsidR="00B32E0F" w:rsidRDefault="00B32E0F" w:rsidP="00F1195B">
            <w:pPr>
              <w:rPr>
                <w:rFonts w:ascii="Arial" w:hAnsi="Arial" w:cs="Arial"/>
              </w:rPr>
            </w:pPr>
          </w:p>
          <w:p w:rsidR="00B32E0F" w:rsidRDefault="00B32E0F" w:rsidP="00F1195B">
            <w:pPr>
              <w:rPr>
                <w:rFonts w:ascii="Arial" w:hAnsi="Arial" w:cs="Arial"/>
              </w:rPr>
            </w:pPr>
            <w:r w:rsidRPr="00797FC4">
              <w:rPr>
                <w:rFonts w:ascii="Arial" w:hAnsi="Arial" w:cs="Arial"/>
              </w:rPr>
              <w:t>Decision taken in consultation with</w:t>
            </w:r>
            <w:r>
              <w:rPr>
                <w:rFonts w:ascii="Arial" w:hAnsi="Arial" w:cs="Arial"/>
              </w:rPr>
              <w:t>:</w:t>
            </w:r>
          </w:p>
          <w:p w:rsidR="00B32E0F" w:rsidRDefault="00B32E0F" w:rsidP="00F1195B">
            <w:pPr>
              <w:rPr>
                <w:rFonts w:ascii="Arial" w:hAnsi="Arial" w:cs="Arial"/>
              </w:rPr>
            </w:pPr>
          </w:p>
          <w:p w:rsidR="00B32E0F" w:rsidRPr="00557E74" w:rsidRDefault="00B32E0F" w:rsidP="00B32E0F">
            <w:pPr>
              <w:pStyle w:val="ListParagraph"/>
              <w:numPr>
                <w:ilvl w:val="0"/>
                <w:numId w:val="10"/>
              </w:numPr>
              <w:rPr>
                <w:rFonts w:ascii="Arial" w:hAnsi="Arial" w:cs="Arial"/>
              </w:rPr>
            </w:pPr>
            <w:r w:rsidRPr="00557E74">
              <w:rPr>
                <w:rFonts w:ascii="Arial" w:hAnsi="Arial" w:cs="Arial"/>
              </w:rPr>
              <w:t xml:space="preserve">Cllr Alex Hollingsworth, Cabinet Member for Planning and Housing Delivery </w:t>
            </w:r>
          </w:p>
          <w:p w:rsidR="00B32E0F" w:rsidRPr="00557E74" w:rsidRDefault="00B32E0F" w:rsidP="00B32E0F">
            <w:pPr>
              <w:pStyle w:val="ListParagraph"/>
              <w:numPr>
                <w:ilvl w:val="0"/>
                <w:numId w:val="10"/>
              </w:numPr>
              <w:rPr>
                <w:rFonts w:ascii="Arial" w:hAnsi="Arial" w:cs="Arial"/>
              </w:rPr>
            </w:pPr>
            <w:r w:rsidRPr="00557E74">
              <w:rPr>
                <w:rFonts w:ascii="Arial" w:hAnsi="Arial" w:cs="Arial"/>
              </w:rPr>
              <w:t>Cllr Diko Blackings, Cabinet Member for Affordable Housing</w:t>
            </w:r>
            <w:r>
              <w:rPr>
                <w:rFonts w:ascii="Arial" w:hAnsi="Arial" w:cs="Arial"/>
              </w:rPr>
              <w:t>,</w:t>
            </w:r>
            <w:r w:rsidRPr="00557E74">
              <w:rPr>
                <w:rFonts w:ascii="Arial" w:hAnsi="Arial" w:cs="Arial"/>
              </w:rPr>
              <w:t xml:space="preserve"> Housing Security and Housing the Homeless     </w:t>
            </w:r>
          </w:p>
          <w:p w:rsidR="00B32E0F" w:rsidRPr="00557E74" w:rsidRDefault="00B32E0F" w:rsidP="00B32E0F">
            <w:pPr>
              <w:pStyle w:val="ListParagraph"/>
              <w:numPr>
                <w:ilvl w:val="0"/>
                <w:numId w:val="10"/>
              </w:numPr>
              <w:rPr>
                <w:rFonts w:ascii="Arial" w:hAnsi="Arial" w:cs="Arial"/>
              </w:rPr>
            </w:pPr>
            <w:r w:rsidRPr="00557E74">
              <w:rPr>
                <w:rFonts w:ascii="Arial" w:hAnsi="Arial" w:cs="Arial"/>
              </w:rPr>
              <w:t xml:space="preserve">Cllr Ed Turner, Cabinet Member for </w:t>
            </w:r>
            <w:r>
              <w:rPr>
                <w:rFonts w:ascii="Arial" w:hAnsi="Arial" w:cs="Arial"/>
              </w:rPr>
              <w:t>Finance and Asset Management</w:t>
            </w:r>
            <w:r w:rsidRPr="00557E74">
              <w:rPr>
                <w:rFonts w:ascii="Arial" w:hAnsi="Arial" w:cs="Arial"/>
              </w:rPr>
              <w:t xml:space="preserve"> </w:t>
            </w:r>
          </w:p>
          <w:p w:rsidR="00B32E0F" w:rsidRPr="00557E74" w:rsidRDefault="00B32E0F" w:rsidP="00B32E0F">
            <w:pPr>
              <w:pStyle w:val="ListParagraph"/>
              <w:numPr>
                <w:ilvl w:val="0"/>
                <w:numId w:val="10"/>
              </w:numPr>
              <w:rPr>
                <w:rFonts w:ascii="Arial" w:hAnsi="Arial" w:cs="Arial"/>
              </w:rPr>
            </w:pPr>
            <w:r w:rsidRPr="00557E74">
              <w:rPr>
                <w:rFonts w:ascii="Arial" w:hAnsi="Arial" w:cs="Arial"/>
              </w:rPr>
              <w:t>Nigel Kennedy, Head of Financial Services</w:t>
            </w:r>
          </w:p>
          <w:p w:rsidR="00B32E0F" w:rsidRPr="00557E74" w:rsidRDefault="00B32E0F" w:rsidP="00B32E0F">
            <w:pPr>
              <w:pStyle w:val="ListParagraph"/>
              <w:numPr>
                <w:ilvl w:val="0"/>
                <w:numId w:val="10"/>
              </w:numPr>
              <w:rPr>
                <w:rFonts w:ascii="Arial" w:hAnsi="Arial" w:cs="Arial"/>
              </w:rPr>
            </w:pPr>
            <w:r w:rsidRPr="00557E74">
              <w:rPr>
                <w:rFonts w:ascii="Arial" w:hAnsi="Arial" w:cs="Arial"/>
              </w:rPr>
              <w:t>Susan Sale, Head of Law and Governance</w:t>
            </w:r>
          </w:p>
          <w:p w:rsidR="00B32E0F" w:rsidRPr="00A96C08" w:rsidRDefault="00B32E0F" w:rsidP="00F1195B">
            <w:pPr>
              <w:rPr>
                <w:rFonts w:ascii="Arial" w:hAnsi="Arial" w:cs="Arial"/>
              </w:rPr>
            </w:pPr>
          </w:p>
        </w:tc>
      </w:tr>
      <w:tr w:rsidR="00B32E0F" w:rsidTr="00F1195B">
        <w:tc>
          <w:tcPr>
            <w:tcW w:w="3148" w:type="dxa"/>
          </w:tcPr>
          <w:p w:rsidR="00B32E0F" w:rsidRDefault="00B32E0F" w:rsidP="00F1195B">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6776" w:type="dxa"/>
          </w:tcPr>
          <w:p w:rsidR="00B32E0F" w:rsidRPr="00557E74" w:rsidRDefault="00B32E0F" w:rsidP="00F1195B">
            <w:pPr>
              <w:rPr>
                <w:rFonts w:ascii="Arial" w:hAnsi="Arial" w:cs="Arial"/>
              </w:rPr>
            </w:pPr>
            <w:r w:rsidRPr="00557E74">
              <w:rPr>
                <w:rFonts w:ascii="Arial" w:hAnsi="Arial" w:cs="Arial"/>
              </w:rPr>
              <w:t>To not proceed would give rise to:</w:t>
            </w:r>
          </w:p>
          <w:p w:rsidR="00B32E0F" w:rsidRPr="00557E74" w:rsidRDefault="00B32E0F" w:rsidP="00B32E0F">
            <w:pPr>
              <w:numPr>
                <w:ilvl w:val="0"/>
                <w:numId w:val="9"/>
              </w:numPr>
              <w:rPr>
                <w:rFonts w:ascii="Arial" w:hAnsi="Arial" w:cs="Arial"/>
              </w:rPr>
            </w:pPr>
            <w:r w:rsidRPr="00557E74">
              <w:rPr>
                <w:rFonts w:ascii="Arial" w:hAnsi="Arial" w:cs="Arial"/>
              </w:rPr>
              <w:t>A substantial missed opportunity of affordable housing delivery</w:t>
            </w:r>
          </w:p>
          <w:p w:rsidR="00B32E0F" w:rsidRPr="00557E74" w:rsidRDefault="00B32E0F" w:rsidP="00B32E0F">
            <w:pPr>
              <w:numPr>
                <w:ilvl w:val="0"/>
                <w:numId w:val="9"/>
              </w:numPr>
              <w:rPr>
                <w:rFonts w:ascii="Arial" w:hAnsi="Arial" w:cs="Arial"/>
              </w:rPr>
            </w:pPr>
            <w:r w:rsidRPr="00557E74">
              <w:rPr>
                <w:rFonts w:ascii="Arial" w:hAnsi="Arial" w:cs="Arial"/>
              </w:rPr>
              <w:t xml:space="preserve">Reputational damage </w:t>
            </w:r>
          </w:p>
          <w:p w:rsidR="00B32E0F" w:rsidRPr="00557E74" w:rsidRDefault="00B32E0F" w:rsidP="00B32E0F">
            <w:pPr>
              <w:numPr>
                <w:ilvl w:val="0"/>
                <w:numId w:val="9"/>
              </w:numPr>
              <w:rPr>
                <w:rFonts w:ascii="Arial" w:hAnsi="Arial" w:cs="Arial"/>
              </w:rPr>
            </w:pPr>
            <w:r w:rsidRPr="00557E74">
              <w:rPr>
                <w:rFonts w:ascii="Arial" w:hAnsi="Arial" w:cs="Arial"/>
              </w:rPr>
              <w:t>Abortive costs, both financial and staff resources</w:t>
            </w:r>
          </w:p>
          <w:p w:rsidR="00B32E0F" w:rsidRPr="00557E74" w:rsidRDefault="00B32E0F" w:rsidP="00B32E0F">
            <w:pPr>
              <w:numPr>
                <w:ilvl w:val="0"/>
                <w:numId w:val="9"/>
              </w:numPr>
              <w:rPr>
                <w:rFonts w:ascii="Arial" w:hAnsi="Arial" w:cs="Arial"/>
              </w:rPr>
            </w:pPr>
            <w:r w:rsidRPr="00557E74">
              <w:rPr>
                <w:rFonts w:ascii="Arial" w:hAnsi="Arial" w:cs="Arial"/>
              </w:rPr>
              <w:t>Long term vacant sites/ buildings car</w:t>
            </w:r>
            <w:r>
              <w:rPr>
                <w:rFonts w:ascii="Arial" w:hAnsi="Arial" w:cs="Arial"/>
              </w:rPr>
              <w:t>ry</w:t>
            </w:r>
            <w:r w:rsidRPr="00557E74">
              <w:rPr>
                <w:rFonts w:ascii="Arial" w:hAnsi="Arial" w:cs="Arial"/>
              </w:rPr>
              <w:t xml:space="preserve"> risk of trespass, vandalism, perception of Council inactivity.</w:t>
            </w:r>
          </w:p>
          <w:p w:rsidR="00B32E0F" w:rsidRPr="00A96C08" w:rsidRDefault="00B32E0F" w:rsidP="00F1195B">
            <w:pPr>
              <w:rPr>
                <w:rFonts w:ascii="Arial" w:hAnsi="Arial" w:cs="Arial"/>
              </w:rPr>
            </w:pPr>
          </w:p>
        </w:tc>
      </w:tr>
      <w:tr w:rsidR="00B32E0F" w:rsidTr="00F1195B">
        <w:trPr>
          <w:trHeight w:val="1018"/>
        </w:trPr>
        <w:tc>
          <w:tcPr>
            <w:tcW w:w="3148" w:type="dxa"/>
          </w:tcPr>
          <w:p w:rsidR="00B32E0F" w:rsidRPr="00C678ED" w:rsidRDefault="00B32E0F" w:rsidP="00F1195B">
            <w:pPr>
              <w:spacing w:before="120"/>
              <w:rPr>
                <w:rFonts w:ascii="Arial" w:hAnsi="Arial" w:cs="Arial"/>
              </w:rPr>
            </w:pPr>
            <w:r w:rsidRPr="00335A9B">
              <w:rPr>
                <w:rFonts w:ascii="Arial" w:hAnsi="Arial" w:cs="Arial"/>
                <w:b/>
              </w:rPr>
              <w:t>Documents considered</w:t>
            </w:r>
            <w:r>
              <w:rPr>
                <w:rFonts w:ascii="Arial" w:hAnsi="Arial" w:cs="Arial"/>
                <w:b/>
              </w:rPr>
              <w:t>:</w:t>
            </w:r>
            <w:r w:rsidRPr="006F6326">
              <w:rPr>
                <w:rFonts w:ascii="Arial" w:hAnsi="Arial" w:cs="Arial"/>
                <w:i/>
              </w:rPr>
              <w:t xml:space="preserve"> </w:t>
            </w:r>
          </w:p>
        </w:tc>
        <w:tc>
          <w:tcPr>
            <w:tcW w:w="6776" w:type="dxa"/>
          </w:tcPr>
          <w:p w:rsidR="00B32E0F" w:rsidRPr="00A96C08" w:rsidRDefault="00B32E0F" w:rsidP="00F1195B">
            <w:pPr>
              <w:rPr>
                <w:rFonts w:ascii="Arial" w:hAnsi="Arial" w:cs="Arial"/>
              </w:rPr>
            </w:pPr>
            <w:r w:rsidRPr="00557E74">
              <w:rPr>
                <w:rFonts w:ascii="Arial" w:hAnsi="Arial" w:cs="Arial"/>
              </w:rPr>
              <w:t>Land acquisition and project approvals for the development of homes in the HRA</w:t>
            </w:r>
            <w:r>
              <w:rPr>
                <w:rFonts w:ascii="Arial" w:hAnsi="Arial" w:cs="Arial"/>
              </w:rPr>
              <w:t xml:space="preserve"> – report to Cabinet on 9 September 2020</w:t>
            </w:r>
          </w:p>
        </w:tc>
      </w:tr>
      <w:tr w:rsidR="00B32E0F" w:rsidTr="00F1195B">
        <w:tc>
          <w:tcPr>
            <w:tcW w:w="3148" w:type="dxa"/>
          </w:tcPr>
          <w:p w:rsidR="00B32E0F" w:rsidRDefault="00B32E0F" w:rsidP="00F1195B">
            <w:pPr>
              <w:spacing w:before="120" w:after="120"/>
              <w:rPr>
                <w:rFonts w:ascii="Arial" w:hAnsi="Arial" w:cs="Arial"/>
                <w:b/>
              </w:rPr>
            </w:pPr>
            <w:r>
              <w:rPr>
                <w:rFonts w:ascii="Arial" w:hAnsi="Arial" w:cs="Arial"/>
                <w:b/>
              </w:rPr>
              <w:t xml:space="preserve">Key or Not Key: </w:t>
            </w:r>
          </w:p>
        </w:tc>
        <w:tc>
          <w:tcPr>
            <w:tcW w:w="6776" w:type="dxa"/>
          </w:tcPr>
          <w:p w:rsidR="00B32E0F" w:rsidRPr="00A96C08" w:rsidRDefault="00B32E0F" w:rsidP="00F1195B">
            <w:pPr>
              <w:rPr>
                <w:rFonts w:ascii="Arial" w:hAnsi="Arial" w:cs="Arial"/>
              </w:rPr>
            </w:pPr>
            <w:r>
              <w:rPr>
                <w:rFonts w:ascii="Arial" w:hAnsi="Arial" w:cs="Arial"/>
              </w:rPr>
              <w:t>Key</w:t>
            </w:r>
          </w:p>
        </w:tc>
      </w:tr>
      <w:tr w:rsidR="00B32E0F" w:rsidTr="00F1195B">
        <w:tc>
          <w:tcPr>
            <w:tcW w:w="3148" w:type="dxa"/>
          </w:tcPr>
          <w:p w:rsidR="00B32E0F" w:rsidRPr="008E4629" w:rsidRDefault="00B32E0F" w:rsidP="00F1195B">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w:t>
            </w:r>
          </w:p>
        </w:tc>
        <w:tc>
          <w:tcPr>
            <w:tcW w:w="6776" w:type="dxa"/>
          </w:tcPr>
          <w:p w:rsidR="00B32E0F" w:rsidRPr="00A96C08" w:rsidRDefault="00B32E0F" w:rsidP="00F1195B">
            <w:pPr>
              <w:rPr>
                <w:rFonts w:ascii="Arial" w:hAnsi="Arial" w:cs="Arial"/>
              </w:rPr>
            </w:pPr>
            <w:r>
              <w:rPr>
                <w:rFonts w:ascii="Arial" w:hAnsi="Arial" w:cs="Arial"/>
              </w:rPr>
              <w:t>None</w:t>
            </w:r>
          </w:p>
        </w:tc>
      </w:tr>
      <w:tr w:rsidR="00B32E0F" w:rsidTr="00F1195B">
        <w:tc>
          <w:tcPr>
            <w:tcW w:w="3148" w:type="dxa"/>
          </w:tcPr>
          <w:p w:rsidR="00B32E0F" w:rsidRPr="006F6326" w:rsidRDefault="00B32E0F" w:rsidP="00F1195B">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6776" w:type="dxa"/>
          </w:tcPr>
          <w:p w:rsidR="00B32E0F" w:rsidRPr="00A96C08" w:rsidRDefault="00B32E0F" w:rsidP="00F1195B">
            <w:pPr>
              <w:rPr>
                <w:rFonts w:ascii="Arial" w:hAnsi="Arial" w:cs="Arial"/>
              </w:rPr>
            </w:pPr>
            <w:r>
              <w:rPr>
                <w:rFonts w:ascii="Arial" w:hAnsi="Arial" w:cs="Arial"/>
              </w:rPr>
              <w:t>None</w:t>
            </w:r>
          </w:p>
        </w:tc>
      </w:tr>
      <w:tr w:rsidR="00B32E0F" w:rsidTr="00F1195B">
        <w:tc>
          <w:tcPr>
            <w:tcW w:w="3148" w:type="dxa"/>
          </w:tcPr>
          <w:p w:rsidR="00B32E0F" w:rsidRDefault="00B32E0F" w:rsidP="00F1195B">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B32E0F" w:rsidRDefault="00B32E0F" w:rsidP="00F1195B">
            <w:pPr>
              <w:spacing w:before="120"/>
              <w:rPr>
                <w:rFonts w:ascii="Arial" w:hAnsi="Arial" w:cs="Arial"/>
                <w:b/>
              </w:rPr>
            </w:pPr>
            <w:r w:rsidRPr="003505E0">
              <w:rPr>
                <w:rFonts w:ascii="Arial" w:hAnsi="Arial" w:cs="Arial"/>
                <w:b/>
              </w:rPr>
              <w:t>Name &amp; title:</w:t>
            </w:r>
            <w:r>
              <w:rPr>
                <w:rFonts w:ascii="Arial" w:hAnsi="Arial" w:cs="Arial"/>
                <w:b/>
              </w:rPr>
              <w:t xml:space="preserve">  </w:t>
            </w:r>
          </w:p>
          <w:p w:rsidR="00B32E0F" w:rsidRDefault="00B32E0F" w:rsidP="00F1195B">
            <w:pPr>
              <w:spacing w:before="120" w:after="120"/>
              <w:rPr>
                <w:rFonts w:ascii="Arial" w:hAnsi="Arial" w:cs="Arial"/>
                <w:b/>
              </w:rPr>
            </w:pPr>
            <w:r w:rsidRPr="003505E0">
              <w:rPr>
                <w:rFonts w:ascii="Arial" w:hAnsi="Arial" w:cs="Arial"/>
                <w:b/>
              </w:rPr>
              <w:t>Date:</w:t>
            </w:r>
          </w:p>
        </w:tc>
        <w:tc>
          <w:tcPr>
            <w:tcW w:w="6776" w:type="dxa"/>
          </w:tcPr>
          <w:p w:rsidR="00B32E0F" w:rsidRDefault="00B32E0F" w:rsidP="00F1195B">
            <w:pPr>
              <w:rPr>
                <w:rFonts w:ascii="Arial" w:hAnsi="Arial" w:cs="Arial"/>
              </w:rPr>
            </w:pPr>
            <w:r>
              <w:rPr>
                <w:rFonts w:ascii="Arial" w:hAnsi="Arial" w:cs="Arial"/>
              </w:rPr>
              <w:t xml:space="preserve"> </w:t>
            </w:r>
          </w:p>
          <w:p w:rsidR="00B32E0F" w:rsidRDefault="00B32E0F" w:rsidP="00F1195B">
            <w:pPr>
              <w:rPr>
                <w:rFonts w:ascii="Arial" w:hAnsi="Arial" w:cs="Arial"/>
              </w:rPr>
            </w:pPr>
            <w:r>
              <w:rPr>
                <w:rFonts w:ascii="Arial" w:hAnsi="Arial" w:cs="Arial"/>
              </w:rPr>
              <w:t>Vicky Trietline</w:t>
            </w:r>
          </w:p>
          <w:p w:rsidR="00B32E0F" w:rsidRDefault="00B32E0F" w:rsidP="00F1195B">
            <w:pPr>
              <w:rPr>
                <w:rFonts w:ascii="Arial" w:hAnsi="Arial" w:cs="Arial"/>
              </w:rPr>
            </w:pPr>
            <w:r w:rsidRPr="00557E74">
              <w:rPr>
                <w:rFonts w:ascii="Arial" w:hAnsi="Arial" w:cs="Arial"/>
              </w:rPr>
              <w:t>Senior Housing Development Officer</w:t>
            </w:r>
          </w:p>
          <w:p w:rsidR="00B32E0F" w:rsidRDefault="00B32E0F" w:rsidP="00F1195B">
            <w:pPr>
              <w:rPr>
                <w:rFonts w:ascii="Arial" w:hAnsi="Arial" w:cs="Arial"/>
              </w:rPr>
            </w:pPr>
            <w:r>
              <w:rPr>
                <w:rFonts w:ascii="Arial" w:hAnsi="Arial" w:cs="Arial"/>
              </w:rPr>
              <w:t>12 October 2021</w:t>
            </w:r>
          </w:p>
          <w:p w:rsidR="00B32E0F" w:rsidRPr="00A96C08" w:rsidRDefault="00B32E0F" w:rsidP="00F1195B">
            <w:pPr>
              <w:rPr>
                <w:rFonts w:ascii="Arial" w:hAnsi="Arial" w:cs="Arial"/>
              </w:rPr>
            </w:pPr>
          </w:p>
        </w:tc>
      </w:tr>
    </w:tbl>
    <w:p w:rsidR="00B32E0F" w:rsidRDefault="00B32E0F" w:rsidP="00B32E0F"/>
    <w:p w:rsidR="00B32E0F" w:rsidRDefault="00B32E0F" w:rsidP="00B32E0F"/>
    <w:p w:rsidR="00B32E0F" w:rsidRDefault="00B32E0F" w:rsidP="00B32E0F"/>
    <w:p w:rsidR="00B32E0F" w:rsidRDefault="00B32E0F" w:rsidP="00B32E0F"/>
    <w:p w:rsidR="00B32E0F" w:rsidRDefault="00B32E0F" w:rsidP="00B32E0F"/>
    <w:p w:rsidR="00B32E0F" w:rsidRDefault="00B32E0F" w:rsidP="00B32E0F">
      <w:pPr>
        <w:rPr>
          <w:rFonts w:ascii="Arial" w:hAnsi="Arial" w:cs="Arial"/>
          <w:b/>
        </w:rPr>
      </w:pPr>
      <w:r>
        <w:rPr>
          <w:rFonts w:ascii="Arial" w:hAnsi="Arial" w:cs="Arial"/>
          <w:b/>
        </w:rPr>
        <w:t xml:space="preserve">Approval checklist </w:t>
      </w:r>
    </w:p>
    <w:p w:rsidR="00B32E0F" w:rsidRDefault="00B32E0F" w:rsidP="00B32E0F">
      <w:pPr>
        <w:rPr>
          <w:rFonts w:ascii="Arial" w:hAnsi="Arial" w:cs="Arial"/>
          <w:b/>
        </w:rPr>
      </w:pPr>
    </w:p>
    <w:tbl>
      <w:tblPr>
        <w:tblStyle w:val="TableGrid"/>
        <w:tblW w:w="9923" w:type="dxa"/>
        <w:tblInd w:w="-289" w:type="dxa"/>
        <w:tblLook w:val="04A0" w:firstRow="1" w:lastRow="0" w:firstColumn="1" w:lastColumn="0" w:noHBand="0" w:noVBand="1"/>
      </w:tblPr>
      <w:tblGrid>
        <w:gridCol w:w="2836"/>
        <w:gridCol w:w="5430"/>
        <w:gridCol w:w="1657"/>
      </w:tblGrid>
      <w:tr w:rsidR="00B32E0F" w:rsidRPr="00CD4BC9" w:rsidTr="00F1195B">
        <w:trPr>
          <w:trHeight w:val="516"/>
        </w:trPr>
        <w:tc>
          <w:tcPr>
            <w:tcW w:w="2836" w:type="dxa"/>
          </w:tcPr>
          <w:p w:rsidR="00B32E0F" w:rsidRPr="00CD4BC9" w:rsidRDefault="00B32E0F" w:rsidP="00F1195B">
            <w:pPr>
              <w:spacing w:before="120" w:after="120"/>
              <w:rPr>
                <w:rFonts w:ascii="Arial" w:hAnsi="Arial" w:cs="Arial"/>
                <w:b/>
                <w:i/>
              </w:rPr>
            </w:pPr>
            <w:r>
              <w:rPr>
                <w:rFonts w:ascii="Arial" w:hAnsi="Arial" w:cs="Arial"/>
                <w:b/>
                <w:i/>
              </w:rPr>
              <w:lastRenderedPageBreak/>
              <w:t>Approver</w:t>
            </w:r>
          </w:p>
        </w:tc>
        <w:tc>
          <w:tcPr>
            <w:tcW w:w="5430" w:type="dxa"/>
            <w:vAlign w:val="center"/>
          </w:tcPr>
          <w:p w:rsidR="00B32E0F" w:rsidRPr="00CD4BC9" w:rsidRDefault="00B32E0F" w:rsidP="00F1195B">
            <w:pPr>
              <w:rPr>
                <w:rFonts w:ascii="Arial" w:hAnsi="Arial" w:cs="Arial"/>
                <w:b/>
                <w:i/>
              </w:rPr>
            </w:pPr>
            <w:r w:rsidRPr="00CD4BC9">
              <w:rPr>
                <w:rFonts w:ascii="Arial" w:hAnsi="Arial" w:cs="Arial"/>
                <w:b/>
                <w:i/>
              </w:rPr>
              <w:t>Name and job title</w:t>
            </w:r>
          </w:p>
        </w:tc>
        <w:tc>
          <w:tcPr>
            <w:tcW w:w="1657" w:type="dxa"/>
            <w:vAlign w:val="center"/>
          </w:tcPr>
          <w:p w:rsidR="00B32E0F" w:rsidRPr="00CD4BC9" w:rsidRDefault="00B32E0F" w:rsidP="00F1195B">
            <w:pPr>
              <w:rPr>
                <w:rFonts w:ascii="Arial" w:hAnsi="Arial" w:cs="Arial"/>
                <w:b/>
                <w:i/>
              </w:rPr>
            </w:pPr>
            <w:r w:rsidRPr="00CD4BC9">
              <w:rPr>
                <w:rFonts w:ascii="Arial" w:hAnsi="Arial" w:cs="Arial"/>
                <w:b/>
                <w:i/>
              </w:rPr>
              <w:t xml:space="preserve">Date </w:t>
            </w:r>
          </w:p>
        </w:tc>
      </w:tr>
      <w:tr w:rsidR="00B32E0F" w:rsidRPr="00A96C08" w:rsidTr="00F1195B">
        <w:trPr>
          <w:trHeight w:val="516"/>
        </w:trPr>
        <w:tc>
          <w:tcPr>
            <w:tcW w:w="2836" w:type="dxa"/>
            <w:vAlign w:val="center"/>
          </w:tcPr>
          <w:p w:rsidR="00B32E0F" w:rsidRPr="00BF240D" w:rsidRDefault="00B32E0F" w:rsidP="00F1195B">
            <w:pPr>
              <w:spacing w:before="120" w:after="120"/>
              <w:rPr>
                <w:rFonts w:ascii="Arial" w:hAnsi="Arial" w:cs="Arial"/>
              </w:rPr>
            </w:pPr>
            <w:r>
              <w:rPr>
                <w:rFonts w:ascii="Arial" w:hAnsi="Arial" w:cs="Arial"/>
              </w:rPr>
              <w:t>Decision Maker</w:t>
            </w:r>
          </w:p>
        </w:tc>
        <w:tc>
          <w:tcPr>
            <w:tcW w:w="5430" w:type="dxa"/>
            <w:vAlign w:val="center"/>
          </w:tcPr>
          <w:p w:rsidR="00B32E0F" w:rsidRDefault="00B32E0F" w:rsidP="00F1195B">
            <w:pPr>
              <w:rPr>
                <w:rFonts w:ascii="Arial" w:hAnsi="Arial" w:cs="Arial"/>
              </w:rPr>
            </w:pPr>
            <w:r>
              <w:rPr>
                <w:rFonts w:ascii="Arial" w:hAnsi="Arial" w:cs="Arial"/>
                <w:noProof/>
              </w:rPr>
              <w:drawing>
                <wp:inline distT="0" distB="0" distL="0" distR="0" wp14:anchorId="3BA00CB0" wp14:editId="06139362">
                  <wp:extent cx="3108960" cy="926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926465"/>
                          </a:xfrm>
                          <a:prstGeom prst="rect">
                            <a:avLst/>
                          </a:prstGeom>
                          <a:noFill/>
                        </pic:spPr>
                      </pic:pic>
                    </a:graphicData>
                  </a:graphic>
                </wp:inline>
              </w:drawing>
            </w:r>
          </w:p>
          <w:p w:rsidR="00B32E0F" w:rsidRPr="00A96C08" w:rsidRDefault="00B32E0F" w:rsidP="00F1195B">
            <w:pPr>
              <w:rPr>
                <w:rFonts w:ascii="Arial" w:hAnsi="Arial" w:cs="Arial"/>
              </w:rPr>
            </w:pPr>
            <w:r>
              <w:rPr>
                <w:rFonts w:ascii="Arial" w:hAnsi="Arial" w:cs="Arial"/>
              </w:rPr>
              <w:t>Caroline Green, Chief Executive</w:t>
            </w:r>
          </w:p>
        </w:tc>
        <w:tc>
          <w:tcPr>
            <w:tcW w:w="1657" w:type="dxa"/>
            <w:vAlign w:val="center"/>
          </w:tcPr>
          <w:p w:rsidR="00B32E0F" w:rsidRPr="00A96C08" w:rsidRDefault="00B32E0F" w:rsidP="00F1195B">
            <w:pPr>
              <w:rPr>
                <w:rFonts w:ascii="Arial" w:hAnsi="Arial" w:cs="Arial"/>
              </w:rPr>
            </w:pPr>
            <w:r>
              <w:rPr>
                <w:rFonts w:ascii="Arial" w:hAnsi="Arial" w:cs="Arial"/>
              </w:rPr>
              <w:t>14 Oct 2021</w:t>
            </w:r>
          </w:p>
        </w:tc>
      </w:tr>
    </w:tbl>
    <w:p w:rsidR="00B32E0F" w:rsidRDefault="00B32E0F" w:rsidP="00B32E0F">
      <w:pPr>
        <w:rPr>
          <w:rFonts w:ascii="Arial" w:hAnsi="Arial" w:cs="Arial"/>
        </w:rPr>
      </w:pPr>
    </w:p>
    <w:p w:rsidR="00B32E0F" w:rsidRDefault="00B32E0F" w:rsidP="00B32E0F">
      <w:pPr>
        <w:rPr>
          <w:rFonts w:ascii="Arial" w:hAnsi="Arial" w:cs="Arial"/>
        </w:rPr>
      </w:pPr>
    </w:p>
    <w:p w:rsidR="00B32E0F" w:rsidRDefault="00B32E0F" w:rsidP="00B32E0F">
      <w:pPr>
        <w:rPr>
          <w:rFonts w:ascii="Arial" w:hAnsi="Arial" w:cs="Arial"/>
        </w:rPr>
      </w:pPr>
    </w:p>
    <w:tbl>
      <w:tblPr>
        <w:tblStyle w:val="TableGrid"/>
        <w:tblW w:w="9923" w:type="dxa"/>
        <w:tblInd w:w="-289" w:type="dxa"/>
        <w:tblLook w:val="04A0" w:firstRow="1" w:lastRow="0" w:firstColumn="1" w:lastColumn="0" w:noHBand="0" w:noVBand="1"/>
      </w:tblPr>
      <w:tblGrid>
        <w:gridCol w:w="2836"/>
        <w:gridCol w:w="5386"/>
        <w:gridCol w:w="1701"/>
      </w:tblGrid>
      <w:tr w:rsidR="00B32E0F" w:rsidRPr="00A96C08" w:rsidTr="00F1195B">
        <w:trPr>
          <w:trHeight w:val="516"/>
        </w:trPr>
        <w:tc>
          <w:tcPr>
            <w:tcW w:w="2836" w:type="dxa"/>
          </w:tcPr>
          <w:p w:rsidR="00B32E0F" w:rsidRPr="00CD4BC9" w:rsidRDefault="00B32E0F" w:rsidP="00F1195B">
            <w:pPr>
              <w:spacing w:before="120" w:after="120"/>
              <w:rPr>
                <w:rFonts w:ascii="Arial" w:hAnsi="Arial" w:cs="Arial"/>
                <w:b/>
                <w:i/>
              </w:rPr>
            </w:pPr>
            <w:r>
              <w:rPr>
                <w:rFonts w:ascii="Arial" w:hAnsi="Arial" w:cs="Arial"/>
                <w:b/>
                <w:i/>
              </w:rPr>
              <w:t>Consultee</w:t>
            </w:r>
          </w:p>
        </w:tc>
        <w:tc>
          <w:tcPr>
            <w:tcW w:w="5386" w:type="dxa"/>
            <w:vAlign w:val="center"/>
          </w:tcPr>
          <w:p w:rsidR="00B32E0F" w:rsidRPr="00CD4BC9" w:rsidRDefault="00B32E0F" w:rsidP="00F1195B">
            <w:pPr>
              <w:rPr>
                <w:rFonts w:ascii="Arial" w:hAnsi="Arial" w:cs="Arial"/>
                <w:b/>
                <w:i/>
              </w:rPr>
            </w:pPr>
            <w:r w:rsidRPr="00CD4BC9">
              <w:rPr>
                <w:rFonts w:ascii="Arial" w:hAnsi="Arial" w:cs="Arial"/>
                <w:b/>
                <w:i/>
              </w:rPr>
              <w:t>Name and job title</w:t>
            </w:r>
          </w:p>
        </w:tc>
        <w:tc>
          <w:tcPr>
            <w:tcW w:w="1701" w:type="dxa"/>
            <w:vAlign w:val="center"/>
          </w:tcPr>
          <w:p w:rsidR="00B32E0F" w:rsidRPr="00CD4BC9" w:rsidRDefault="00B32E0F" w:rsidP="00F1195B">
            <w:pPr>
              <w:rPr>
                <w:rFonts w:ascii="Arial" w:hAnsi="Arial" w:cs="Arial"/>
                <w:b/>
                <w:i/>
              </w:rPr>
            </w:pPr>
            <w:r w:rsidRPr="00CD4BC9">
              <w:rPr>
                <w:rFonts w:ascii="Arial" w:hAnsi="Arial" w:cs="Arial"/>
                <w:b/>
                <w:i/>
              </w:rPr>
              <w:t xml:space="preserve">Date </w:t>
            </w:r>
          </w:p>
        </w:tc>
      </w:tr>
      <w:tr w:rsidR="00B32E0F" w:rsidRPr="00A96C08" w:rsidTr="00F1195B">
        <w:trPr>
          <w:trHeight w:val="516"/>
        </w:trPr>
        <w:tc>
          <w:tcPr>
            <w:tcW w:w="2836" w:type="dxa"/>
            <w:vAlign w:val="center"/>
          </w:tcPr>
          <w:p w:rsidR="00B32E0F" w:rsidRPr="00BF240D" w:rsidRDefault="00B32E0F" w:rsidP="00F1195B">
            <w:pPr>
              <w:spacing w:before="120" w:after="120"/>
              <w:rPr>
                <w:rFonts w:ascii="Arial" w:hAnsi="Arial" w:cs="Arial"/>
              </w:rPr>
            </w:pPr>
            <w:r w:rsidRPr="00405321">
              <w:rPr>
                <w:rFonts w:ascii="Arial" w:hAnsi="Arial" w:cs="Arial"/>
                <w:b/>
              </w:rPr>
              <w:t>Senior officer(s)</w:t>
            </w:r>
            <w:r>
              <w:rPr>
                <w:rFonts w:ascii="Arial" w:hAnsi="Arial" w:cs="Arial"/>
                <w:b/>
              </w:rPr>
              <w:t xml:space="preserve"> </w:t>
            </w:r>
          </w:p>
        </w:tc>
        <w:tc>
          <w:tcPr>
            <w:tcW w:w="5386" w:type="dxa"/>
            <w:vAlign w:val="center"/>
          </w:tcPr>
          <w:p w:rsidR="00B32E0F" w:rsidRDefault="00B32E0F" w:rsidP="00F1195B">
            <w:pPr>
              <w:rPr>
                <w:rFonts w:ascii="Arial" w:hAnsi="Arial" w:cs="Arial"/>
              </w:rPr>
            </w:pPr>
            <w:r>
              <w:rPr>
                <w:rFonts w:ascii="Arial" w:hAnsi="Arial" w:cs="Arial"/>
              </w:rPr>
              <w:t>Dave Scholes</w:t>
            </w:r>
          </w:p>
          <w:p w:rsidR="00B32E0F" w:rsidRPr="00A96C08" w:rsidRDefault="00B32E0F" w:rsidP="00F1195B">
            <w:pPr>
              <w:rPr>
                <w:rFonts w:ascii="Arial" w:hAnsi="Arial" w:cs="Arial"/>
              </w:rPr>
            </w:pPr>
            <w:r>
              <w:rPr>
                <w:rFonts w:ascii="Arial" w:hAnsi="Arial" w:cs="Arial"/>
              </w:rPr>
              <w:t>Affordable Housing Supply Lead</w:t>
            </w:r>
          </w:p>
        </w:tc>
        <w:tc>
          <w:tcPr>
            <w:tcW w:w="1701" w:type="dxa"/>
            <w:vAlign w:val="center"/>
          </w:tcPr>
          <w:p w:rsidR="00B32E0F" w:rsidRPr="00A96C08" w:rsidRDefault="00B32E0F" w:rsidP="00F1195B">
            <w:pPr>
              <w:rPr>
                <w:rFonts w:ascii="Arial" w:hAnsi="Arial" w:cs="Arial"/>
              </w:rPr>
            </w:pPr>
            <w:r>
              <w:rPr>
                <w:rFonts w:ascii="Arial" w:hAnsi="Arial" w:cs="Arial"/>
              </w:rPr>
              <w:t>8 Oct 2021</w:t>
            </w:r>
          </w:p>
        </w:tc>
      </w:tr>
      <w:tr w:rsidR="00B32E0F" w:rsidRPr="00A96C08" w:rsidTr="00F1195B">
        <w:trPr>
          <w:trHeight w:val="1161"/>
        </w:trPr>
        <w:tc>
          <w:tcPr>
            <w:tcW w:w="2836" w:type="dxa"/>
          </w:tcPr>
          <w:p w:rsidR="00B32E0F" w:rsidRPr="00BF240D" w:rsidRDefault="00B32E0F" w:rsidP="00F1195B">
            <w:pPr>
              <w:spacing w:before="120"/>
              <w:rPr>
                <w:rFonts w:ascii="Arial" w:hAnsi="Arial" w:cs="Arial"/>
              </w:rPr>
            </w:pPr>
            <w:r w:rsidRPr="00405321">
              <w:rPr>
                <w:rFonts w:ascii="Arial" w:hAnsi="Arial" w:cs="Arial"/>
                <w:b/>
              </w:rPr>
              <w:t>Head of Financial Services</w:t>
            </w:r>
            <w:r>
              <w:rPr>
                <w:rFonts w:ascii="Arial" w:hAnsi="Arial" w:cs="Arial"/>
                <w:b/>
              </w:rPr>
              <w:t xml:space="preserve"> </w:t>
            </w:r>
            <w:r>
              <w:rPr>
                <w:rFonts w:ascii="Arial" w:hAnsi="Arial" w:cs="Arial"/>
              </w:rPr>
              <w:t xml:space="preserve">if </w:t>
            </w:r>
          </w:p>
        </w:tc>
        <w:tc>
          <w:tcPr>
            <w:tcW w:w="5386" w:type="dxa"/>
            <w:vAlign w:val="center"/>
          </w:tcPr>
          <w:p w:rsidR="00B32E0F" w:rsidRDefault="00B32E0F" w:rsidP="00F1195B">
            <w:pPr>
              <w:rPr>
                <w:rFonts w:ascii="Arial" w:hAnsi="Arial" w:cs="Arial"/>
              </w:rPr>
            </w:pPr>
            <w:r>
              <w:rPr>
                <w:rFonts w:ascii="Arial" w:hAnsi="Arial" w:cs="Arial"/>
                <w:noProof/>
              </w:rPr>
              <w:drawing>
                <wp:inline distT="0" distB="0" distL="0" distR="0" wp14:anchorId="3809C91B" wp14:editId="6A74D49E">
                  <wp:extent cx="1115695" cy="8413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695" cy="841375"/>
                          </a:xfrm>
                          <a:prstGeom prst="rect">
                            <a:avLst/>
                          </a:prstGeom>
                          <a:noFill/>
                        </pic:spPr>
                      </pic:pic>
                    </a:graphicData>
                  </a:graphic>
                </wp:inline>
              </w:drawing>
            </w:r>
          </w:p>
          <w:p w:rsidR="00B32E0F" w:rsidRPr="00550775" w:rsidRDefault="00B32E0F" w:rsidP="00F1195B">
            <w:pPr>
              <w:rPr>
                <w:rFonts w:ascii="Arial" w:hAnsi="Arial" w:cs="Arial"/>
              </w:rPr>
            </w:pPr>
            <w:r>
              <w:rPr>
                <w:rFonts w:ascii="Arial" w:hAnsi="Arial" w:cs="Arial"/>
              </w:rPr>
              <w:t>Nigel Kennedy, Head of Financial Services</w:t>
            </w:r>
          </w:p>
        </w:tc>
        <w:tc>
          <w:tcPr>
            <w:tcW w:w="1701" w:type="dxa"/>
            <w:vAlign w:val="center"/>
          </w:tcPr>
          <w:p w:rsidR="00B32E0F" w:rsidRPr="00A96C08" w:rsidRDefault="00B32E0F" w:rsidP="00F1195B">
            <w:pPr>
              <w:rPr>
                <w:rFonts w:ascii="Arial" w:hAnsi="Arial" w:cs="Arial"/>
              </w:rPr>
            </w:pPr>
            <w:r>
              <w:rPr>
                <w:rFonts w:ascii="Arial" w:hAnsi="Arial" w:cs="Arial"/>
              </w:rPr>
              <w:t>13 Oct 2021</w:t>
            </w:r>
          </w:p>
        </w:tc>
      </w:tr>
      <w:tr w:rsidR="00B32E0F" w:rsidRPr="00A96C08" w:rsidTr="00F1195B">
        <w:trPr>
          <w:trHeight w:val="834"/>
        </w:trPr>
        <w:tc>
          <w:tcPr>
            <w:tcW w:w="2836" w:type="dxa"/>
            <w:vAlign w:val="center"/>
          </w:tcPr>
          <w:p w:rsidR="00B32E0F" w:rsidRPr="00405321" w:rsidRDefault="00B32E0F" w:rsidP="00F1195B">
            <w:pPr>
              <w:spacing w:before="120" w:after="120"/>
              <w:rPr>
                <w:rFonts w:ascii="Arial" w:hAnsi="Arial" w:cs="Arial"/>
                <w:b/>
              </w:rPr>
            </w:pPr>
            <w:r w:rsidRPr="00405321">
              <w:rPr>
                <w:rFonts w:ascii="Arial" w:hAnsi="Arial" w:cs="Arial"/>
                <w:b/>
              </w:rPr>
              <w:t>Head of Law and Governance</w:t>
            </w:r>
          </w:p>
        </w:tc>
        <w:tc>
          <w:tcPr>
            <w:tcW w:w="5386" w:type="dxa"/>
            <w:vAlign w:val="center"/>
          </w:tcPr>
          <w:p w:rsidR="00B32E0F" w:rsidRDefault="00B32E0F" w:rsidP="00F1195B">
            <w:pPr>
              <w:rPr>
                <w:rFonts w:ascii="Arial" w:hAnsi="Arial" w:cs="Arial"/>
              </w:rPr>
            </w:pPr>
            <w:r>
              <w:rPr>
                <w:rFonts w:ascii="Arial" w:hAnsi="Arial" w:cs="Arial"/>
                <w:noProof/>
              </w:rPr>
              <w:drawing>
                <wp:inline distT="0" distB="0" distL="0" distR="0" wp14:anchorId="1F0D9A00" wp14:editId="67D9BB5A">
                  <wp:extent cx="1889760" cy="78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786765"/>
                          </a:xfrm>
                          <a:prstGeom prst="rect">
                            <a:avLst/>
                          </a:prstGeom>
                          <a:noFill/>
                        </pic:spPr>
                      </pic:pic>
                    </a:graphicData>
                  </a:graphic>
                </wp:inline>
              </w:drawing>
            </w:r>
          </w:p>
          <w:p w:rsidR="00B32E0F" w:rsidRPr="00550775" w:rsidRDefault="00B32E0F" w:rsidP="00F1195B">
            <w:pPr>
              <w:rPr>
                <w:rFonts w:ascii="Arial" w:hAnsi="Arial" w:cs="Arial"/>
              </w:rPr>
            </w:pPr>
            <w:r>
              <w:rPr>
                <w:rFonts w:ascii="Arial" w:hAnsi="Arial" w:cs="Arial"/>
              </w:rPr>
              <w:t>Susan Sale, Head of Law and Governance</w:t>
            </w:r>
          </w:p>
        </w:tc>
        <w:tc>
          <w:tcPr>
            <w:tcW w:w="1701" w:type="dxa"/>
            <w:vAlign w:val="center"/>
          </w:tcPr>
          <w:p w:rsidR="00B32E0F" w:rsidRPr="00A96C08" w:rsidRDefault="00B32E0F" w:rsidP="00F1195B">
            <w:pPr>
              <w:rPr>
                <w:rFonts w:ascii="Arial" w:hAnsi="Arial" w:cs="Arial"/>
              </w:rPr>
            </w:pPr>
            <w:r>
              <w:rPr>
                <w:rFonts w:ascii="Arial" w:hAnsi="Arial" w:cs="Arial"/>
              </w:rPr>
              <w:t>14 Oct 2021</w:t>
            </w:r>
          </w:p>
        </w:tc>
      </w:tr>
      <w:tr w:rsidR="00B32E0F" w:rsidRPr="00A96C08" w:rsidTr="00F1195B">
        <w:trPr>
          <w:trHeight w:val="562"/>
        </w:trPr>
        <w:tc>
          <w:tcPr>
            <w:tcW w:w="2836" w:type="dxa"/>
            <w:vAlign w:val="center"/>
          </w:tcPr>
          <w:p w:rsidR="00B32E0F" w:rsidRPr="00405321" w:rsidRDefault="00B32E0F" w:rsidP="00F1195B">
            <w:pPr>
              <w:spacing w:before="120" w:after="120"/>
              <w:rPr>
                <w:rFonts w:ascii="Arial" w:hAnsi="Arial" w:cs="Arial"/>
                <w:b/>
              </w:rPr>
            </w:pPr>
            <w:r w:rsidRPr="00405321">
              <w:rPr>
                <w:rFonts w:ascii="Arial" w:hAnsi="Arial" w:cs="Arial"/>
                <w:b/>
              </w:rPr>
              <w:t>Cabinet Member(s)</w:t>
            </w:r>
            <w:r>
              <w:rPr>
                <w:rFonts w:ascii="Arial" w:hAnsi="Arial" w:cs="Arial"/>
                <w:b/>
              </w:rPr>
              <w:t xml:space="preserve"> </w:t>
            </w:r>
          </w:p>
        </w:tc>
        <w:tc>
          <w:tcPr>
            <w:tcW w:w="5386" w:type="dxa"/>
            <w:vAlign w:val="center"/>
          </w:tcPr>
          <w:p w:rsidR="00B32E0F" w:rsidRDefault="00B32E0F" w:rsidP="00F1195B">
            <w:pPr>
              <w:rPr>
                <w:rFonts w:ascii="Arial" w:hAnsi="Arial" w:cs="Arial"/>
              </w:rPr>
            </w:pPr>
            <w:r w:rsidRPr="00F60031">
              <w:rPr>
                <w:rFonts w:ascii="Arial" w:hAnsi="Arial" w:cs="Arial"/>
              </w:rPr>
              <w:t xml:space="preserve">Cllr Alex Hollingsworth, Cabinet Member for Planning and Housing Delivery, </w:t>
            </w:r>
          </w:p>
          <w:p w:rsidR="00B32E0F" w:rsidRDefault="00B32E0F" w:rsidP="00F1195B">
            <w:pPr>
              <w:rPr>
                <w:rFonts w:ascii="Arial" w:hAnsi="Arial" w:cs="Arial"/>
              </w:rPr>
            </w:pPr>
            <w:r w:rsidRPr="00F60031">
              <w:rPr>
                <w:rFonts w:ascii="Arial" w:hAnsi="Arial" w:cs="Arial"/>
              </w:rPr>
              <w:t>Cllr Diko Blackings, Cabinet Member for Affordable Housing</w:t>
            </w:r>
            <w:r>
              <w:rPr>
                <w:rFonts w:ascii="Arial" w:hAnsi="Arial" w:cs="Arial"/>
              </w:rPr>
              <w:t>,</w:t>
            </w:r>
            <w:r>
              <w:t xml:space="preserve"> </w:t>
            </w:r>
            <w:r w:rsidRPr="00557E74">
              <w:rPr>
                <w:rFonts w:ascii="Arial" w:hAnsi="Arial" w:cs="Arial"/>
              </w:rPr>
              <w:t>Housing Security and Housing the Homeless</w:t>
            </w:r>
          </w:p>
          <w:p w:rsidR="00B32E0F" w:rsidRPr="00550775" w:rsidRDefault="00B32E0F" w:rsidP="00F1195B">
            <w:pPr>
              <w:rPr>
                <w:rFonts w:ascii="Arial" w:hAnsi="Arial" w:cs="Arial"/>
              </w:rPr>
            </w:pPr>
            <w:r w:rsidRPr="00F60031">
              <w:rPr>
                <w:rFonts w:ascii="Arial" w:hAnsi="Arial" w:cs="Arial"/>
              </w:rPr>
              <w:t>Cllr</w:t>
            </w:r>
            <w:r>
              <w:rPr>
                <w:rFonts w:ascii="Arial" w:hAnsi="Arial" w:cs="Arial"/>
              </w:rPr>
              <w:t xml:space="preserve"> Ed Turner, Cabinet Member for </w:t>
            </w:r>
            <w:r w:rsidRPr="00F60031">
              <w:rPr>
                <w:rFonts w:ascii="Arial" w:hAnsi="Arial" w:cs="Arial"/>
              </w:rPr>
              <w:t>Finance and Asset Management.</w:t>
            </w:r>
          </w:p>
        </w:tc>
        <w:tc>
          <w:tcPr>
            <w:tcW w:w="1701" w:type="dxa"/>
            <w:vAlign w:val="center"/>
          </w:tcPr>
          <w:p w:rsidR="00B32E0F" w:rsidRPr="00A96C08" w:rsidRDefault="00B32E0F" w:rsidP="00F1195B">
            <w:pPr>
              <w:rPr>
                <w:rFonts w:ascii="Arial" w:hAnsi="Arial" w:cs="Arial"/>
              </w:rPr>
            </w:pPr>
            <w:r>
              <w:rPr>
                <w:rFonts w:ascii="Arial" w:hAnsi="Arial" w:cs="Arial"/>
              </w:rPr>
              <w:t>8 Oct 2021</w:t>
            </w:r>
          </w:p>
        </w:tc>
      </w:tr>
      <w:tr w:rsidR="00B32E0F" w:rsidRPr="00A96C08" w:rsidTr="00F1195B">
        <w:trPr>
          <w:trHeight w:val="516"/>
        </w:trPr>
        <w:tc>
          <w:tcPr>
            <w:tcW w:w="2836" w:type="dxa"/>
            <w:vAlign w:val="center"/>
          </w:tcPr>
          <w:p w:rsidR="00B32E0F" w:rsidRPr="00405321" w:rsidRDefault="00B32E0F" w:rsidP="00F1195B">
            <w:pPr>
              <w:spacing w:before="120" w:after="120"/>
              <w:rPr>
                <w:rFonts w:ascii="Arial" w:hAnsi="Arial" w:cs="Arial"/>
              </w:rPr>
            </w:pPr>
            <w:r w:rsidRPr="00405321">
              <w:rPr>
                <w:rFonts w:ascii="Arial" w:hAnsi="Arial" w:cs="Arial"/>
                <w:b/>
              </w:rPr>
              <w:t>Ward Member(s)</w:t>
            </w:r>
            <w:r>
              <w:rPr>
                <w:rFonts w:ascii="Arial" w:hAnsi="Arial" w:cs="Arial"/>
              </w:rPr>
              <w:t xml:space="preserve"> – </w:t>
            </w:r>
          </w:p>
        </w:tc>
        <w:tc>
          <w:tcPr>
            <w:tcW w:w="5386" w:type="dxa"/>
            <w:vAlign w:val="center"/>
          </w:tcPr>
          <w:p w:rsidR="00B32E0F" w:rsidRPr="00A96C08" w:rsidRDefault="00B32E0F" w:rsidP="00F1195B">
            <w:pPr>
              <w:rPr>
                <w:rFonts w:ascii="Arial" w:hAnsi="Arial" w:cs="Arial"/>
              </w:rPr>
            </w:pPr>
            <w:r>
              <w:rPr>
                <w:rFonts w:ascii="Arial" w:hAnsi="Arial" w:cs="Arial"/>
              </w:rPr>
              <w:t>n/a</w:t>
            </w:r>
          </w:p>
        </w:tc>
        <w:tc>
          <w:tcPr>
            <w:tcW w:w="1701" w:type="dxa"/>
            <w:vAlign w:val="center"/>
          </w:tcPr>
          <w:p w:rsidR="00B32E0F" w:rsidRPr="00A96C08" w:rsidRDefault="00B32E0F" w:rsidP="00F1195B">
            <w:pPr>
              <w:rPr>
                <w:rFonts w:ascii="Arial" w:hAnsi="Arial" w:cs="Arial"/>
              </w:rPr>
            </w:pPr>
          </w:p>
        </w:tc>
      </w:tr>
    </w:tbl>
    <w:p w:rsidR="00B32E0F" w:rsidRDefault="00B32E0F" w:rsidP="00B32E0F">
      <w:pPr>
        <w:rPr>
          <w:rFonts w:ascii="Arial" w:hAnsi="Arial" w:cs="Arial"/>
        </w:rPr>
      </w:pPr>
    </w:p>
    <w:p w:rsidR="005C6416" w:rsidRPr="00B32E0F" w:rsidRDefault="005C6416" w:rsidP="00B32E0F"/>
    <w:sectPr w:rsidR="005C6416" w:rsidRPr="00B32E0F"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D7207"/>
    <w:multiLevelType w:val="hybridMultilevel"/>
    <w:tmpl w:val="7F6A7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81F2B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2"/>
  </w:num>
  <w:num w:numId="5">
    <w:abstractNumId w:val="3"/>
  </w:num>
  <w:num w:numId="6">
    <w:abstractNumId w:val="5"/>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231385"/>
    <w:rsid w:val="002611EB"/>
    <w:rsid w:val="00263039"/>
    <w:rsid w:val="002A07C9"/>
    <w:rsid w:val="002B53D4"/>
    <w:rsid w:val="002E61DD"/>
    <w:rsid w:val="00335A9B"/>
    <w:rsid w:val="003505E0"/>
    <w:rsid w:val="003547CD"/>
    <w:rsid w:val="00372AFD"/>
    <w:rsid w:val="00373F5D"/>
    <w:rsid w:val="003B1236"/>
    <w:rsid w:val="004000D7"/>
    <w:rsid w:val="00405321"/>
    <w:rsid w:val="00424A92"/>
    <w:rsid w:val="004A049B"/>
    <w:rsid w:val="004B1944"/>
    <w:rsid w:val="00504E43"/>
    <w:rsid w:val="00532DF2"/>
    <w:rsid w:val="005C60B2"/>
    <w:rsid w:val="005C6416"/>
    <w:rsid w:val="005E37E4"/>
    <w:rsid w:val="00616F3F"/>
    <w:rsid w:val="006247C4"/>
    <w:rsid w:val="006F6326"/>
    <w:rsid w:val="006F6731"/>
    <w:rsid w:val="007023AB"/>
    <w:rsid w:val="007908F4"/>
    <w:rsid w:val="007D270E"/>
    <w:rsid w:val="00801BEB"/>
    <w:rsid w:val="00804BF2"/>
    <w:rsid w:val="00834D72"/>
    <w:rsid w:val="00844D21"/>
    <w:rsid w:val="00854133"/>
    <w:rsid w:val="008613FB"/>
    <w:rsid w:val="008676E5"/>
    <w:rsid w:val="008900A7"/>
    <w:rsid w:val="00891B19"/>
    <w:rsid w:val="008A22C6"/>
    <w:rsid w:val="008E4629"/>
    <w:rsid w:val="00986C99"/>
    <w:rsid w:val="009F048F"/>
    <w:rsid w:val="009F6401"/>
    <w:rsid w:val="00A12928"/>
    <w:rsid w:val="00A253FE"/>
    <w:rsid w:val="00A96C08"/>
    <w:rsid w:val="00AC5899"/>
    <w:rsid w:val="00B15340"/>
    <w:rsid w:val="00B32E0F"/>
    <w:rsid w:val="00B87695"/>
    <w:rsid w:val="00B928EF"/>
    <w:rsid w:val="00BD4490"/>
    <w:rsid w:val="00BE1FD4"/>
    <w:rsid w:val="00BF240D"/>
    <w:rsid w:val="00C07F80"/>
    <w:rsid w:val="00C251F7"/>
    <w:rsid w:val="00C6130E"/>
    <w:rsid w:val="00C678ED"/>
    <w:rsid w:val="00CB5E4F"/>
    <w:rsid w:val="00CD4BC9"/>
    <w:rsid w:val="00CE6085"/>
    <w:rsid w:val="00D33F83"/>
    <w:rsid w:val="00D543D9"/>
    <w:rsid w:val="00DB01D4"/>
    <w:rsid w:val="00DC2E8D"/>
    <w:rsid w:val="00DD1A34"/>
    <w:rsid w:val="00DD4885"/>
    <w:rsid w:val="00DD51B2"/>
    <w:rsid w:val="00E127E3"/>
    <w:rsid w:val="00E20A54"/>
    <w:rsid w:val="00E270E5"/>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link w:val="ListParagraphChar"/>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B32E0F"/>
    <w:rPr>
      <w:rFonts w:ascii="Arial" w:hAnsi="Arial"/>
      <w:b/>
      <w:sz w:val="24"/>
    </w:rPr>
  </w:style>
  <w:style w:type="character" w:customStyle="1" w:styleId="ListParagraphChar">
    <w:name w:val="List Paragraph Char"/>
    <w:link w:val="ListParagraph"/>
    <w:uiPriority w:val="34"/>
    <w:rsid w:val="00B32E0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D427-A94D-49A8-9A5B-A9640F2D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12153439</Template>
  <TotalTime>1</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BROWN Andrew J</cp:lastModifiedBy>
  <cp:revision>3</cp:revision>
  <cp:lastPrinted>2015-07-27T09:35:00Z</cp:lastPrinted>
  <dcterms:created xsi:type="dcterms:W3CDTF">2021-10-14T15:41:00Z</dcterms:created>
  <dcterms:modified xsi:type="dcterms:W3CDTF">2021-10-15T08:15:00Z</dcterms:modified>
</cp:coreProperties>
</file>